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4439">
        <w:rPr>
          <w:rFonts w:ascii="Century Gothic" w:hAnsi="Century Gothic"/>
          <w:b/>
          <w:sz w:val="25"/>
          <w:szCs w:val="25"/>
          <w:lang w:val="es-MX"/>
        </w:rPr>
        <w:t>3</w:t>
      </w:r>
      <w:r w:rsidR="008F4D7F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  <w:bookmarkStart w:id="0" w:name="_GoBack"/>
      <w:bookmarkEnd w:id="0"/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7567DB" w:rsidRDefault="009B7F9A" w:rsidP="00DB27A4">
      <w:pPr>
        <w:pStyle w:val="Textoindependiente3"/>
        <w:rPr>
          <w:rFonts w:ascii="Century Gothic" w:hAnsi="Century Gothic"/>
          <w:sz w:val="10"/>
          <w:szCs w:val="10"/>
        </w:rPr>
      </w:pPr>
    </w:p>
    <w:p w:rsidR="00835A33" w:rsidRPr="007567DB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7567DB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900F53" w:rsidRDefault="007567DB" w:rsidP="007567DB">
      <w:pPr>
        <w:spacing w:line="312" w:lineRule="auto"/>
        <w:jc w:val="both"/>
        <w:rPr>
          <w:rFonts w:ascii="Century Gothic" w:eastAsiaTheme="minorHAnsi" w:hAnsi="Century Gothic" w:cs="Arial"/>
          <w:bCs/>
          <w:iCs/>
          <w:sz w:val="24"/>
          <w:szCs w:val="24"/>
          <w:lang w:val="es-MX" w:eastAsia="en-US"/>
        </w:rPr>
      </w:pPr>
      <w:r w:rsidRPr="007567DB">
        <w:rPr>
          <w:rFonts w:ascii="Century Gothic" w:eastAsia="Arial" w:hAnsi="Century Gothic" w:cs="Arial"/>
          <w:b/>
          <w:sz w:val="28"/>
          <w:szCs w:val="28"/>
          <w:lang w:val="es-MX" w:eastAsia="en-US"/>
        </w:rPr>
        <w:t>PRIMERO.-</w:t>
      </w:r>
      <w:r w:rsidR="00900F53" w:rsidRPr="007567DB">
        <w:rPr>
          <w:rFonts w:ascii="Century Gothic" w:eastAsia="Arial" w:hAnsi="Century Gothic" w:cs="Arial"/>
          <w:b/>
          <w:sz w:val="24"/>
          <w:szCs w:val="24"/>
          <w:lang w:val="es-MX" w:eastAsia="en-US"/>
        </w:rPr>
        <w:t xml:space="preserve"> </w:t>
      </w:r>
      <w:r w:rsidRPr="007567DB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La Sexagésima Séptima Legislatura del Honorable Congreso del Estado Chihuahua, </w:t>
      </w:r>
      <w:r w:rsidR="00900F53" w:rsidRPr="007567DB">
        <w:rPr>
          <w:rFonts w:ascii="Century Gothic" w:eastAsia="Arial" w:hAnsi="Century Gothic" w:cs="Arial"/>
          <w:b/>
          <w:iCs/>
          <w:sz w:val="24"/>
          <w:szCs w:val="24"/>
          <w:lang w:val="es-MX" w:eastAsia="en-US"/>
        </w:rPr>
        <w:t xml:space="preserve"> </w:t>
      </w:r>
      <w:r w:rsidR="00900F53" w:rsidRPr="007567DB">
        <w:rPr>
          <w:rFonts w:ascii="Century Gothic" w:eastAsia="Arial" w:hAnsi="Century Gothic" w:cs="Arial"/>
          <w:iCs/>
          <w:sz w:val="24"/>
          <w:szCs w:val="24"/>
          <w:lang w:val="es-MX" w:eastAsia="en-US"/>
        </w:rPr>
        <w:t xml:space="preserve">hace 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un respetuoso llamado y exhorto a la Cámara de Diputados del H. Congreso de la Unión, para que se a</w:t>
      </w:r>
      <w:r w:rsidR="00B369FE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b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oque al cumplimiento del amparo en revisión 265/2020 resuelto por la Primera Sala de la Suprema Corte de Justicia de la Unión</w:t>
      </w:r>
      <w:r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,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en sesión del 12 de mayo del 2021, e inicie los trabajos legislativos para cumplir</w:t>
      </w:r>
      <w:bookmarkStart w:id="1" w:name="_Hlk83887103"/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antes de que finalicen los próximos dos periodos ordinario</w:t>
      </w:r>
      <w:r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s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de sesiones del Congreso de la </w:t>
      </w:r>
      <w:r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Unión,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es decir, antes del 30 de abril del 2022</w:t>
      </w:r>
      <w:bookmarkEnd w:id="1"/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, con lo que dispone</w:t>
      </w:r>
      <w:r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n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los artículos Segundo y Cuarto Transitorio</w:t>
      </w:r>
      <w:r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>s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de la reforma constitucional publicada en el Diario Oficial de la Federación el 15 de septiembre del 2017 </w:t>
      </w:r>
      <w:r w:rsidR="00900F53" w:rsidRPr="007567DB">
        <w:rPr>
          <w:rFonts w:ascii="Century Gothic" w:eastAsiaTheme="minorHAnsi" w:hAnsi="Century Gothic" w:cs="Arial"/>
          <w:bCs/>
          <w:iCs/>
          <w:sz w:val="24"/>
          <w:szCs w:val="24"/>
          <w:lang w:val="es-MX" w:eastAsia="en-US"/>
        </w:rPr>
        <w:t>en materia de Justicia Cotidiana y, en consecuencia</w:t>
      </w:r>
      <w:r w:rsidRPr="007567DB">
        <w:rPr>
          <w:rFonts w:ascii="Century Gothic" w:eastAsiaTheme="minorHAnsi" w:hAnsi="Century Gothic" w:cs="Arial"/>
          <w:bCs/>
          <w:iCs/>
          <w:sz w:val="24"/>
          <w:szCs w:val="24"/>
          <w:lang w:val="es-MX" w:eastAsia="en-US"/>
        </w:rPr>
        <w:t>,</w:t>
      </w:r>
      <w:r w:rsidR="00900F53" w:rsidRPr="007567DB">
        <w:rPr>
          <w:rFonts w:ascii="Century Gothic" w:eastAsiaTheme="minorHAnsi" w:hAnsi="Century Gothic" w:cs="Arial"/>
          <w:bCs/>
          <w:iCs/>
          <w:sz w:val="24"/>
          <w:szCs w:val="24"/>
          <w:lang w:val="es-MX" w:eastAsia="en-US"/>
        </w:rPr>
        <w:t xml:space="preserve"> emita</w:t>
      </w:r>
      <w:r w:rsidR="00900F53" w:rsidRPr="007567DB">
        <w:rPr>
          <w:rFonts w:ascii="Century Gothic" w:eastAsiaTheme="minorHAnsi" w:hAnsi="Century Gothic" w:cs="Arial"/>
          <w:bCs/>
          <w:sz w:val="24"/>
          <w:szCs w:val="24"/>
          <w:lang w:val="es-MX" w:eastAsia="en-US"/>
        </w:rPr>
        <w:t xml:space="preserve"> </w:t>
      </w:r>
      <w:r w:rsidR="00900F53" w:rsidRPr="007567DB">
        <w:rPr>
          <w:rFonts w:ascii="Century Gothic" w:eastAsiaTheme="minorHAnsi" w:hAnsi="Century Gothic" w:cs="Arial"/>
          <w:bCs/>
          <w:iCs/>
          <w:sz w:val="24"/>
          <w:szCs w:val="24"/>
          <w:lang w:val="es-MX" w:eastAsia="en-US"/>
        </w:rPr>
        <w:t>la legislación única en materia procesal civil y familiar o Código Nacional de Procedimientos Civiles y Familiares.</w:t>
      </w:r>
    </w:p>
    <w:p w:rsidR="007567DB" w:rsidRPr="007567DB" w:rsidRDefault="007567DB" w:rsidP="007567DB">
      <w:pPr>
        <w:spacing w:line="312" w:lineRule="auto"/>
        <w:jc w:val="both"/>
        <w:rPr>
          <w:rFonts w:ascii="Century Gothic" w:eastAsiaTheme="minorHAnsi" w:hAnsi="Century Gothic" w:cs="Arial"/>
          <w:szCs w:val="24"/>
          <w:lang w:val="es-MX" w:eastAsia="en-US"/>
        </w:rPr>
      </w:pPr>
    </w:p>
    <w:p w:rsidR="007567DB" w:rsidRPr="00592B87" w:rsidRDefault="007567DB" w:rsidP="007567DB">
      <w:pPr>
        <w:spacing w:line="312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>presente Acuerdo, a la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autoridad competente, para los efectos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que haya lugar.</w:t>
      </w:r>
    </w:p>
    <w:p w:rsidR="00320102" w:rsidRPr="007567DB" w:rsidRDefault="00320102" w:rsidP="007567D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ascii="Century Gothic" w:eastAsia="Arial" w:hAnsi="Century Gothic" w:cs="Arial"/>
          <w:color w:val="000000"/>
          <w:szCs w:val="24"/>
          <w:u w:color="000000"/>
          <w:bdr w:val="nil"/>
          <w:lang w:val="es-ES_tradnl" w:eastAsia="es-MX"/>
        </w:rPr>
      </w:pPr>
    </w:p>
    <w:p w:rsidR="002319BB" w:rsidRDefault="002319BB" w:rsidP="007567D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320102">
        <w:rPr>
          <w:rFonts w:ascii="Century Gothic" w:hAnsi="Century Gothic"/>
          <w:szCs w:val="24"/>
        </w:rPr>
        <w:t xml:space="preserve">treinta </w:t>
      </w:r>
      <w:r>
        <w:rPr>
          <w:rFonts w:ascii="Century Gothic" w:hAnsi="Century Gothic"/>
          <w:szCs w:val="24"/>
        </w:rPr>
        <w:t>días del mes de septiembre del año dos mil veintiuno.</w:t>
      </w:r>
    </w:p>
    <w:p w:rsidR="00453AC7" w:rsidRDefault="00453AC7" w:rsidP="00453AC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D4D53">
      <w:headerReference w:type="default" r:id="rId7"/>
      <w:footerReference w:type="even" r:id="rId8"/>
      <w:footerReference w:type="default" r:id="rId9"/>
      <w:pgSz w:w="12242" w:h="15842" w:code="1"/>
      <w:pgMar w:top="3856" w:right="1588" w:bottom="1531" w:left="1588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CF" w:rsidRDefault="005C6DCF">
      <w:r>
        <w:separator/>
      </w:r>
    </w:p>
  </w:endnote>
  <w:endnote w:type="continuationSeparator" w:id="0">
    <w:p w:rsidR="005C6DCF" w:rsidRDefault="005C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4D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CF" w:rsidRDefault="005C6DCF">
      <w:r>
        <w:separator/>
      </w:r>
    </w:p>
  </w:footnote>
  <w:footnote w:type="continuationSeparator" w:id="0">
    <w:p w:rsidR="005C6DCF" w:rsidRDefault="005C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B570A8">
      <w:rPr>
        <w:rFonts w:ascii="Century Gothic" w:hAnsi="Century Gothic"/>
        <w:b/>
        <w:sz w:val="24"/>
        <w:szCs w:val="24"/>
        <w:lang w:val="en-US"/>
      </w:rPr>
      <w:t>3</w:t>
    </w:r>
    <w:r w:rsidR="008F4D7F">
      <w:rPr>
        <w:rFonts w:ascii="Century Gothic" w:hAnsi="Century Gothic"/>
        <w:b/>
        <w:sz w:val="24"/>
        <w:szCs w:val="24"/>
        <w:lang w:val="en-US"/>
      </w:rPr>
      <w:t>2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553C"/>
    <w:rsid w:val="000901D6"/>
    <w:rsid w:val="000912D8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552C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D4D53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C6DCF"/>
    <w:rsid w:val="005D2EF1"/>
    <w:rsid w:val="005D3B4C"/>
    <w:rsid w:val="005E2CB9"/>
    <w:rsid w:val="005E4D90"/>
    <w:rsid w:val="005F3C3A"/>
    <w:rsid w:val="005F7AF4"/>
    <w:rsid w:val="00600BCA"/>
    <w:rsid w:val="006012A7"/>
    <w:rsid w:val="0060197B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67DB"/>
    <w:rsid w:val="00761C88"/>
    <w:rsid w:val="00764925"/>
    <w:rsid w:val="007659DE"/>
    <w:rsid w:val="007704F6"/>
    <w:rsid w:val="00770A05"/>
    <w:rsid w:val="00773877"/>
    <w:rsid w:val="007753DC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0F53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ABC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369FE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137E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A1887"/>
    <w:rsid w:val="00DA1D05"/>
    <w:rsid w:val="00DA7293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876B1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6645-3E82-4028-A878-F564381D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125</cp:revision>
  <cp:lastPrinted>2021-10-05T14:22:00Z</cp:lastPrinted>
  <dcterms:created xsi:type="dcterms:W3CDTF">2018-08-29T18:38:00Z</dcterms:created>
  <dcterms:modified xsi:type="dcterms:W3CDTF">2021-10-05T14:22:00Z</dcterms:modified>
</cp:coreProperties>
</file>